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FB" w:rsidRPr="001377FB" w:rsidRDefault="001377FB" w:rsidP="001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377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П У Б Л И К А   Б Ъ Л Г А Р И Я</w:t>
      </w:r>
    </w:p>
    <w:p w:rsidR="001377FB" w:rsidRPr="001377FB" w:rsidRDefault="001377FB" w:rsidP="001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377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ЧЕТИРИДЕСЕТ И ТРЕТО НАРОДНО СЪБРАНИЕ</w:t>
      </w:r>
    </w:p>
    <w:p w:rsidR="001377FB" w:rsidRPr="001377FB" w:rsidRDefault="001377FB" w:rsidP="001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377FB" w:rsidRPr="001377FB" w:rsidRDefault="001377FB"/>
    <w:p w:rsidR="001377FB" w:rsidRPr="001377FB" w:rsidRDefault="001377FB" w:rsidP="00137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F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Ъ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 xml:space="preserve">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7FB">
        <w:rPr>
          <w:rFonts w:ascii="Times New Roman" w:hAnsi="Times New Roman" w:cs="Times New Roman"/>
          <w:b/>
          <w:sz w:val="28"/>
          <w:szCs w:val="28"/>
        </w:rPr>
        <w:t xml:space="preserve">Л </w:t>
      </w:r>
    </w:p>
    <w:p w:rsidR="001377FB" w:rsidRPr="00BB7219" w:rsidRDefault="00BB7219" w:rsidP="00BB7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219">
        <w:rPr>
          <w:rFonts w:ascii="Times New Roman" w:hAnsi="Times New Roman" w:cs="Times New Roman"/>
          <w:sz w:val="24"/>
          <w:szCs w:val="24"/>
        </w:rPr>
        <w:t>от работна среща</w:t>
      </w:r>
      <w:r w:rsidR="004D2DA7">
        <w:rPr>
          <w:rFonts w:ascii="Times New Roman" w:hAnsi="Times New Roman" w:cs="Times New Roman"/>
          <w:sz w:val="24"/>
          <w:szCs w:val="24"/>
        </w:rPr>
        <w:t>, 25.02.2016 г.</w:t>
      </w:r>
    </w:p>
    <w:p w:rsidR="00BB7219" w:rsidRDefault="00BB7219" w:rsidP="00BB7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308" w:rsidRPr="002B3E2D" w:rsidRDefault="00BB7219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>На 25.02.2016 г.</w:t>
      </w:r>
      <w:r w:rsidR="004D2DA7" w:rsidRPr="002B3E2D">
        <w:rPr>
          <w:rFonts w:ascii="Times New Roman" w:hAnsi="Times New Roman" w:cs="Times New Roman"/>
          <w:sz w:val="24"/>
          <w:szCs w:val="24"/>
        </w:rPr>
        <w:t xml:space="preserve">, в сградата на Народното събрание на пл.“Княз Александър </w:t>
      </w:r>
      <w:r w:rsidR="004D2DA7" w:rsidRPr="002B3E2D">
        <w:rPr>
          <w:rFonts w:ascii="Times New Roman" w:hAnsi="Times New Roman" w:cs="Times New Roman"/>
          <w:sz w:val="24"/>
          <w:szCs w:val="24"/>
          <w:lang w:val="en-US"/>
        </w:rPr>
        <w:t>I”</w:t>
      </w:r>
      <w:r w:rsidR="004D2DA7" w:rsidRPr="002B3E2D">
        <w:rPr>
          <w:rFonts w:ascii="Times New Roman" w:hAnsi="Times New Roman" w:cs="Times New Roman"/>
          <w:sz w:val="24"/>
          <w:szCs w:val="24"/>
        </w:rPr>
        <w:t xml:space="preserve"> №1, в зала 456</w:t>
      </w:r>
      <w:r w:rsidRPr="002B3E2D">
        <w:rPr>
          <w:rFonts w:ascii="Times New Roman" w:hAnsi="Times New Roman" w:cs="Times New Roman"/>
          <w:sz w:val="24"/>
          <w:szCs w:val="24"/>
        </w:rPr>
        <w:t xml:space="preserve"> се проведе работна среща на народни представители, членове на Комисията за наблюдение на дейността на Държавната комисия за енергийно и водно регулиране и експертния състав на същата, на която </w:t>
      </w:r>
      <w:r w:rsidR="00223308" w:rsidRPr="002B3E2D">
        <w:rPr>
          <w:rFonts w:ascii="Times New Roman" w:hAnsi="Times New Roman" w:cs="Times New Roman"/>
          <w:sz w:val="24"/>
          <w:szCs w:val="24"/>
        </w:rPr>
        <w:t xml:space="preserve">бяха обсъдени предложения за изменения и допълнения на </w:t>
      </w:r>
      <w:r w:rsidRPr="002B3E2D">
        <w:rPr>
          <w:rFonts w:ascii="Times New Roman" w:hAnsi="Times New Roman" w:cs="Times New Roman"/>
          <w:sz w:val="24"/>
          <w:szCs w:val="24"/>
        </w:rPr>
        <w:t>Закона за енергетиката</w:t>
      </w:r>
      <w:r w:rsidR="00223308" w:rsidRPr="002B3E2D">
        <w:rPr>
          <w:rFonts w:ascii="Times New Roman" w:hAnsi="Times New Roman" w:cs="Times New Roman"/>
          <w:sz w:val="24"/>
          <w:szCs w:val="24"/>
        </w:rPr>
        <w:t>, които отразяват необходимостта от транспониране на Регламент (ЕС) № 1227/2011 относно интегритета и прозрачността на пазара за търговия на едро с енергия, както и правни норми за решаване на практически въпроси при работа на свободен пазар.</w:t>
      </w:r>
    </w:p>
    <w:p w:rsidR="00223308" w:rsidRPr="002B3E2D" w:rsidRDefault="00BB7219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Срещата беше ръководена от председателя на </w:t>
      </w:r>
      <w:r w:rsidR="002B3E2D">
        <w:rPr>
          <w:rFonts w:ascii="Times New Roman" w:hAnsi="Times New Roman" w:cs="Times New Roman"/>
          <w:sz w:val="24"/>
          <w:szCs w:val="24"/>
        </w:rPr>
        <w:t>парламентарната комисия</w:t>
      </w:r>
      <w:r w:rsidRPr="002B3E2D">
        <w:rPr>
          <w:rFonts w:ascii="Times New Roman" w:hAnsi="Times New Roman" w:cs="Times New Roman"/>
          <w:sz w:val="24"/>
          <w:szCs w:val="24"/>
        </w:rPr>
        <w:t>, Искрен Веселинов</w:t>
      </w:r>
      <w:r w:rsidR="002B3E2D">
        <w:rPr>
          <w:rFonts w:ascii="Times New Roman" w:hAnsi="Times New Roman" w:cs="Times New Roman"/>
          <w:sz w:val="24"/>
          <w:szCs w:val="24"/>
        </w:rPr>
        <w:t xml:space="preserve"> и на нея присъстваха народните представители: Валентин Николов, Георги Недев, Евгени Стоев, Магдалена Ташева и Александър Ненков. </w:t>
      </w:r>
      <w:r w:rsidR="00223308" w:rsidRPr="002B3E2D">
        <w:rPr>
          <w:rFonts w:ascii="Times New Roman" w:hAnsi="Times New Roman" w:cs="Times New Roman"/>
          <w:sz w:val="24"/>
          <w:szCs w:val="24"/>
        </w:rPr>
        <w:t xml:space="preserve">Обсъждането протече при </w:t>
      </w:r>
      <w:r w:rsidR="002B3E2D">
        <w:rPr>
          <w:rFonts w:ascii="Times New Roman" w:hAnsi="Times New Roman" w:cs="Times New Roman"/>
          <w:sz w:val="24"/>
          <w:szCs w:val="24"/>
        </w:rPr>
        <w:t>обсъждане на</w:t>
      </w:r>
      <w:r w:rsidR="00223308" w:rsidRPr="002B3E2D">
        <w:rPr>
          <w:rFonts w:ascii="Times New Roman" w:hAnsi="Times New Roman" w:cs="Times New Roman"/>
          <w:sz w:val="24"/>
          <w:szCs w:val="24"/>
        </w:rPr>
        <w:t xml:space="preserve"> параграф по параг</w:t>
      </w:r>
      <w:r w:rsidR="002B3E2D">
        <w:rPr>
          <w:rFonts w:ascii="Times New Roman" w:hAnsi="Times New Roman" w:cs="Times New Roman"/>
          <w:sz w:val="24"/>
          <w:szCs w:val="24"/>
        </w:rPr>
        <w:t>раф на предложените текстове</w:t>
      </w:r>
      <w:r w:rsidR="00223308" w:rsidRPr="002B3E2D">
        <w:rPr>
          <w:rFonts w:ascii="Times New Roman" w:hAnsi="Times New Roman" w:cs="Times New Roman"/>
          <w:sz w:val="24"/>
          <w:szCs w:val="24"/>
        </w:rPr>
        <w:t>, като специално внимание се обърна на те</w:t>
      </w:r>
      <w:r w:rsidR="002B3E2D">
        <w:rPr>
          <w:rFonts w:ascii="Times New Roman" w:hAnsi="Times New Roman" w:cs="Times New Roman"/>
          <w:sz w:val="24"/>
          <w:szCs w:val="24"/>
        </w:rPr>
        <w:t>зи</w:t>
      </w:r>
      <w:r w:rsidR="00223308" w:rsidRPr="002B3E2D">
        <w:rPr>
          <w:rFonts w:ascii="Times New Roman" w:hAnsi="Times New Roman" w:cs="Times New Roman"/>
          <w:sz w:val="24"/>
          <w:szCs w:val="24"/>
        </w:rPr>
        <w:t>, по които има нужда от посочване на задълбочена обосновка.</w:t>
      </w:r>
    </w:p>
    <w:p w:rsidR="00223308" w:rsidRPr="002B3E2D" w:rsidRDefault="00223308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По </w:t>
      </w:r>
      <w:r w:rsidR="004D2DA7" w:rsidRPr="002B3E2D">
        <w:rPr>
          <w:rFonts w:ascii="Times New Roman" w:hAnsi="Times New Roman" w:cs="Times New Roman"/>
          <w:sz w:val="24"/>
          <w:szCs w:val="24"/>
        </w:rPr>
        <w:t>параграфи</w:t>
      </w:r>
      <w:r w:rsidRPr="002B3E2D">
        <w:rPr>
          <w:rFonts w:ascii="Times New Roman" w:hAnsi="Times New Roman" w:cs="Times New Roman"/>
          <w:sz w:val="24"/>
          <w:szCs w:val="24"/>
        </w:rPr>
        <w:t xml:space="preserve"> 1 и 2, нямаше въпроси</w:t>
      </w:r>
      <w:r w:rsidR="00174A31" w:rsidRPr="002B3E2D">
        <w:rPr>
          <w:rFonts w:ascii="Times New Roman" w:hAnsi="Times New Roman" w:cs="Times New Roman"/>
          <w:sz w:val="24"/>
          <w:szCs w:val="24"/>
        </w:rPr>
        <w:t xml:space="preserve"> и текстовете се приеха по принцип</w:t>
      </w:r>
      <w:r w:rsidRPr="002B3E2D">
        <w:rPr>
          <w:rFonts w:ascii="Times New Roman" w:hAnsi="Times New Roman" w:cs="Times New Roman"/>
          <w:sz w:val="24"/>
          <w:szCs w:val="24"/>
        </w:rPr>
        <w:t>, а §3 не беше обсъждан.</w:t>
      </w:r>
    </w:p>
    <w:p w:rsidR="00223308" w:rsidRPr="002B3E2D" w:rsidRDefault="00174A31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По § 4, </w:t>
      </w:r>
      <w:proofErr w:type="spellStart"/>
      <w:r w:rsidRPr="002B3E2D">
        <w:rPr>
          <w:rFonts w:ascii="Times New Roman" w:hAnsi="Times New Roman" w:cs="Times New Roman"/>
          <w:sz w:val="24"/>
          <w:szCs w:val="24"/>
        </w:rPr>
        <w:t>касаещ</w:t>
      </w:r>
      <w:proofErr w:type="spellEnd"/>
      <w:r w:rsidRPr="002B3E2D">
        <w:rPr>
          <w:rFonts w:ascii="Times New Roman" w:hAnsi="Times New Roman" w:cs="Times New Roman"/>
          <w:sz w:val="24"/>
          <w:szCs w:val="24"/>
        </w:rPr>
        <w:t xml:space="preserve"> </w:t>
      </w:r>
      <w:r w:rsidR="004D2DA7" w:rsidRPr="002B3E2D">
        <w:rPr>
          <w:rFonts w:ascii="Times New Roman" w:hAnsi="Times New Roman" w:cs="Times New Roman"/>
          <w:sz w:val="24"/>
          <w:szCs w:val="24"/>
        </w:rPr>
        <w:t>разширяване на правомощията на Комисията за енергийно и водно регулиране</w:t>
      </w:r>
      <w:r w:rsidRPr="002B3E2D">
        <w:rPr>
          <w:rFonts w:ascii="Times New Roman" w:hAnsi="Times New Roman" w:cs="Times New Roman"/>
          <w:sz w:val="24"/>
          <w:szCs w:val="24"/>
        </w:rPr>
        <w:t xml:space="preserve"> за ценово регулиране по отношение на монополни услуги, които извършват мрежовите дружества при присъединяване на обекти, се </w:t>
      </w:r>
      <w:r w:rsidR="002B3E2D">
        <w:rPr>
          <w:rFonts w:ascii="Times New Roman" w:hAnsi="Times New Roman" w:cs="Times New Roman"/>
          <w:sz w:val="24"/>
          <w:szCs w:val="24"/>
        </w:rPr>
        <w:t>постави акцен</w:t>
      </w:r>
      <w:r w:rsidRPr="002B3E2D">
        <w:rPr>
          <w:rFonts w:ascii="Times New Roman" w:hAnsi="Times New Roman" w:cs="Times New Roman"/>
          <w:sz w:val="24"/>
          <w:szCs w:val="24"/>
        </w:rPr>
        <w:t>т върху това, че въпреки проведените обсъждания на проблемите на гражданите и бизнеса при присъединяване на обекти към мрежите, не се очертава решение на ниво подзаконови актове на КЕВР. Предложеният текст по § 4, не решава всички въпроси с улеснено присъединяване на нови обекти, но спомага да се създаде ценова рамка за уеднаквяване на практиките на различните мрежови дружества. В тази връзка текста се подкрепя по принцип.</w:t>
      </w:r>
    </w:p>
    <w:p w:rsidR="00174A31" w:rsidRPr="002B3E2D" w:rsidRDefault="00174A31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lastRenderedPageBreak/>
        <w:t>На редакционно ниво има</w:t>
      </w:r>
      <w:r w:rsidR="00BB7219" w:rsidRPr="002B3E2D">
        <w:rPr>
          <w:rFonts w:ascii="Times New Roman" w:hAnsi="Times New Roman" w:cs="Times New Roman"/>
          <w:sz w:val="24"/>
          <w:szCs w:val="24"/>
        </w:rPr>
        <w:t>ш</w:t>
      </w:r>
      <w:r w:rsidRPr="002B3E2D">
        <w:rPr>
          <w:rFonts w:ascii="Times New Roman" w:hAnsi="Times New Roman" w:cs="Times New Roman"/>
          <w:sz w:val="24"/>
          <w:szCs w:val="24"/>
        </w:rPr>
        <w:t>е разработено предложение за въвеждане на специален механизъм за одобрение на разходи, свързани с осигуряване на допълнителни резевиращи мощности</w:t>
      </w:r>
      <w:r w:rsidR="00163960" w:rsidRPr="002B3E2D">
        <w:rPr>
          <w:rFonts w:ascii="Times New Roman" w:hAnsi="Times New Roman" w:cs="Times New Roman"/>
          <w:sz w:val="24"/>
          <w:szCs w:val="24"/>
        </w:rPr>
        <w:t>. Тези текстове не бяха подкрепени в този им вид и се препоръча, те да бъдат обвързани с работа при аварийни режими и след издаване на съответни заповеди от страна на министъра на енергетиката.</w:t>
      </w:r>
    </w:p>
    <w:p w:rsidR="00163960" w:rsidRPr="002B3E2D" w:rsidRDefault="00163960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§ 5 не беше подкрепен, а § 6 предизвика дискусии за обхвата и компетентността за провеждане на разследвания. На база </w:t>
      </w:r>
      <w:r w:rsidR="00F12D62" w:rsidRPr="002B3E2D">
        <w:rPr>
          <w:rFonts w:ascii="Times New Roman" w:hAnsi="Times New Roman" w:cs="Times New Roman"/>
          <w:sz w:val="24"/>
          <w:szCs w:val="24"/>
        </w:rPr>
        <w:t>на дискусията се стигна до извода, че за осигуряване на ефективен и компетентен контрол върху пазара за търговия на едро с енергия, е необходимо да се разшири дискусията с компетентни институции по отношение на регулациите на фондови и стокови борси. В тази връзка беше предложено настоящите текстове, касаещи мерките за предотвратяване практики на злоупотреба и разкриване на вътрешна информация, да бъдат обсъдени с представители на МФ, МЕ и МИ на отделна работна среща в НС.</w:t>
      </w:r>
    </w:p>
    <w:p w:rsidR="00F12D62" w:rsidRPr="002B3E2D" w:rsidRDefault="004D2DA7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Параграфи </w:t>
      </w:r>
      <w:r w:rsidR="00BA1602" w:rsidRPr="002B3E2D">
        <w:rPr>
          <w:rFonts w:ascii="Times New Roman" w:hAnsi="Times New Roman" w:cs="Times New Roman"/>
          <w:sz w:val="24"/>
          <w:szCs w:val="24"/>
        </w:rPr>
        <w:t>от 8 до 12 бяха подкрепени по принцип, поради това, че допринасят за ясна и точна регламентация по отношение на сделките, чрез които операторите закупуват енергия, както и за даване на възможнос за разширяване на обхвата на търгувана енергия на пазарни принципи.</w:t>
      </w:r>
    </w:p>
    <w:p w:rsidR="00174A31" w:rsidRPr="002B3E2D" w:rsidRDefault="00BA1602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При дискусията по § 13 се установи, че на законово ниво се осигуряват конкретни условия за присъединяване на потребители на природен газ. За въвеждане на такива норми е необходима ясна аргументация, включително и финансови обосновки, преди да се подкрепи предложението. Същото се отнася и до предложението в § 17, което в известен смисъл влиза в противоречие с </w:t>
      </w:r>
      <w:r w:rsidR="009433F0" w:rsidRPr="002B3E2D">
        <w:rPr>
          <w:rFonts w:ascii="Times New Roman" w:hAnsi="Times New Roman" w:cs="Times New Roman"/>
          <w:sz w:val="24"/>
          <w:szCs w:val="24"/>
        </w:rPr>
        <w:t>посоченото преложение по § 13. В резултат двете предложения не бяха подкрепени, но се очаква допълнителни обосновки по тях.</w:t>
      </w:r>
    </w:p>
    <w:p w:rsidR="009433F0" w:rsidRPr="002B3E2D" w:rsidRDefault="009433F0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>Предложението по § 14 за санкции на ВиК оператори не бяха подкрепени, поради липса на яснота дали тази разпоредба може да бъде работеща, след като контролните функции на КЕВР по отношение на ВиК операторите е твърде ограничена. Би било полезно да се обсъди възможността КЕВР да издава лицензи и за тези дружества, при което инструмента на санкции вече ще бъде ефективен.</w:t>
      </w:r>
    </w:p>
    <w:p w:rsidR="009433F0" w:rsidRPr="002B3E2D" w:rsidRDefault="009433F0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>§ 15 беше подкрепен по принцип, но е необходимо да се обвърже с подхода за прилагане на Регламент 1227/2011.</w:t>
      </w:r>
    </w:p>
    <w:p w:rsidR="009147C5" w:rsidRPr="002B3E2D" w:rsidRDefault="009433F0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lastRenderedPageBreak/>
        <w:t xml:space="preserve">§ 16 въвежда много и разнообразни разпоредби, част от които касаят подхода за прилагане на Регламент 1227/2011, т.е. следва да се обсъдят отделно, или касаят много конкретни приложни въпроси, за които е необходима обосновка. Така например предложението за изменение на т. 27е е свързано с възможността за работа на ВЕИ производителите както на регулиран, така и на свободен пазар, което може да се подкрепи по принцип, но е необходимо редактиране на текста. Пак в тази връзка са измененията в т. 54а и т.59б, но в този случай е необходима не само редакционна намеса, но и детайлна финансово-икономическа обосновка на въпроса за </w:t>
      </w:r>
      <w:r w:rsidR="009147C5" w:rsidRPr="002B3E2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9147C5" w:rsidRPr="002B3E2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„Специална балансираща група“</w:t>
      </w:r>
      <w:r w:rsidR="009147C5" w:rsidRPr="002B3E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2B3E2D">
        <w:rPr>
          <w:rFonts w:ascii="Times New Roman" w:hAnsi="Times New Roman" w:cs="Times New Roman"/>
          <w:sz w:val="24"/>
          <w:szCs w:val="24"/>
        </w:rPr>
        <w:t xml:space="preserve"> </w:t>
      </w:r>
      <w:r w:rsidR="009147C5" w:rsidRPr="002B3E2D">
        <w:rPr>
          <w:rFonts w:ascii="Times New Roman" w:hAnsi="Times New Roman" w:cs="Times New Roman"/>
          <w:sz w:val="24"/>
          <w:szCs w:val="24"/>
        </w:rPr>
        <w:t xml:space="preserve">и </w:t>
      </w:r>
      <w:r w:rsidR="009147C5" w:rsidRPr="002B3E2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„Стандартна балансираща група“</w:t>
      </w:r>
      <w:r w:rsidR="009147C5" w:rsidRPr="002B3E2D">
        <w:rPr>
          <w:rFonts w:ascii="Times New Roman" w:hAnsi="Times New Roman" w:cs="Times New Roman"/>
          <w:sz w:val="24"/>
          <w:szCs w:val="24"/>
        </w:rPr>
        <w:t xml:space="preserve"> , поради което тези промени немогат да бъдат подкрепени на този етап.</w:t>
      </w:r>
    </w:p>
    <w:p w:rsidR="009433F0" w:rsidRPr="002B3E2D" w:rsidRDefault="009147C5" w:rsidP="00BB72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>Допълнителна обосновка е необходима и за разглеждането на предложението по § 18.</w:t>
      </w:r>
    </w:p>
    <w:p w:rsidR="009147C5" w:rsidRPr="002B3E2D" w:rsidRDefault="009147C5" w:rsidP="00BB721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E2D">
        <w:rPr>
          <w:rFonts w:ascii="Times New Roman" w:hAnsi="Times New Roman" w:cs="Times New Roman"/>
          <w:b/>
          <w:sz w:val="24"/>
          <w:szCs w:val="24"/>
        </w:rPr>
        <w:t>В заключение беше решено:</w:t>
      </w:r>
    </w:p>
    <w:p w:rsidR="009147C5" w:rsidRPr="002B3E2D" w:rsidRDefault="009147C5" w:rsidP="00BB72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>Да се проведат допълнителни срещи на експертно ниво за уточняване на предложенията, по които е необходимо да се представят технико-икономически обосновки;</w:t>
      </w:r>
    </w:p>
    <w:p w:rsidR="009147C5" w:rsidRPr="00AA415F" w:rsidRDefault="009147C5" w:rsidP="00AA41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2D">
        <w:rPr>
          <w:rFonts w:ascii="Times New Roman" w:hAnsi="Times New Roman" w:cs="Times New Roman"/>
          <w:sz w:val="24"/>
          <w:szCs w:val="24"/>
        </w:rPr>
        <w:t xml:space="preserve">Да се подготви среща с представители на </w:t>
      </w:r>
      <w:r w:rsidR="00AA415F">
        <w:rPr>
          <w:rFonts w:ascii="Times New Roman" w:hAnsi="Times New Roman" w:cs="Times New Roman"/>
          <w:sz w:val="24"/>
          <w:szCs w:val="24"/>
        </w:rPr>
        <w:t>М</w:t>
      </w:r>
      <w:r w:rsidR="004D2DA7" w:rsidRPr="002B3E2D">
        <w:rPr>
          <w:rFonts w:ascii="Times New Roman" w:hAnsi="Times New Roman" w:cs="Times New Roman"/>
          <w:sz w:val="24"/>
          <w:szCs w:val="24"/>
        </w:rPr>
        <w:t xml:space="preserve">инистерство на финансите, </w:t>
      </w:r>
      <w:r w:rsidRPr="002B3E2D">
        <w:rPr>
          <w:rFonts w:ascii="Times New Roman" w:hAnsi="Times New Roman" w:cs="Times New Roman"/>
          <w:sz w:val="24"/>
          <w:szCs w:val="24"/>
        </w:rPr>
        <w:t xml:space="preserve"> </w:t>
      </w:r>
      <w:r w:rsidR="00AA415F">
        <w:rPr>
          <w:rFonts w:ascii="Times New Roman" w:hAnsi="Times New Roman" w:cs="Times New Roman"/>
          <w:sz w:val="24"/>
          <w:szCs w:val="24"/>
        </w:rPr>
        <w:t>М</w:t>
      </w:r>
      <w:r w:rsidR="004D2DA7" w:rsidRPr="002B3E2D">
        <w:rPr>
          <w:rFonts w:ascii="Times New Roman" w:hAnsi="Times New Roman" w:cs="Times New Roman"/>
          <w:sz w:val="24"/>
          <w:szCs w:val="24"/>
        </w:rPr>
        <w:t>инистерство на енергетиката</w:t>
      </w:r>
      <w:r w:rsidRPr="002B3E2D">
        <w:rPr>
          <w:rFonts w:ascii="Times New Roman" w:hAnsi="Times New Roman" w:cs="Times New Roman"/>
          <w:sz w:val="24"/>
          <w:szCs w:val="24"/>
        </w:rPr>
        <w:t xml:space="preserve"> и </w:t>
      </w:r>
      <w:r w:rsidR="00AA415F">
        <w:rPr>
          <w:rFonts w:ascii="Times New Roman" w:hAnsi="Times New Roman" w:cs="Times New Roman"/>
          <w:sz w:val="24"/>
          <w:szCs w:val="24"/>
        </w:rPr>
        <w:t>М</w:t>
      </w:r>
      <w:r w:rsidR="004D2DA7" w:rsidRPr="00AA415F">
        <w:rPr>
          <w:rFonts w:ascii="Times New Roman" w:hAnsi="Times New Roman" w:cs="Times New Roman"/>
          <w:sz w:val="24"/>
          <w:szCs w:val="24"/>
        </w:rPr>
        <w:t>инистерство на икономиката</w:t>
      </w:r>
      <w:r w:rsidRPr="00AA415F">
        <w:rPr>
          <w:rFonts w:ascii="Times New Roman" w:hAnsi="Times New Roman" w:cs="Times New Roman"/>
          <w:sz w:val="24"/>
          <w:szCs w:val="24"/>
        </w:rPr>
        <w:t xml:space="preserve"> по въпросите за ефективен контрол и наблюдение на борсовата търговия на електрическа енергия.</w:t>
      </w:r>
      <w:bookmarkStart w:id="0" w:name="_GoBack"/>
      <w:bookmarkEnd w:id="0"/>
    </w:p>
    <w:p w:rsidR="009433F0" w:rsidRPr="00BB7219" w:rsidRDefault="009433F0" w:rsidP="00BB7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7" w:rsidRPr="004D2DA7" w:rsidRDefault="004D2DA7" w:rsidP="004D2DA7">
      <w:pPr>
        <w:spacing w:after="0" w:line="240" w:lineRule="auto"/>
        <w:ind w:left="4248"/>
        <w:jc w:val="both"/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</w:pP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 xml:space="preserve">ПРЕДСЕДАТЕЛ </w:t>
      </w:r>
    </w:p>
    <w:p w:rsidR="004D2DA7" w:rsidRPr="004D2DA7" w:rsidRDefault="004D2DA7" w:rsidP="004D2DA7">
      <w:pPr>
        <w:spacing w:after="0" w:line="240" w:lineRule="auto"/>
        <w:jc w:val="both"/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</w:pP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 xml:space="preserve">                                      </w:t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  <w:t xml:space="preserve">НА КОМИСИЯТА ЗА </w:t>
      </w:r>
    </w:p>
    <w:p w:rsidR="004D2DA7" w:rsidRPr="004D2DA7" w:rsidRDefault="004D2DA7" w:rsidP="004D2DA7">
      <w:pPr>
        <w:spacing w:after="0" w:line="240" w:lineRule="auto"/>
        <w:jc w:val="both"/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</w:pP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 xml:space="preserve">                                     </w:t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  <w:t xml:space="preserve"> </w:t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  <w:t xml:space="preserve">НАБЛЮДЕНИЕ НА </w:t>
      </w:r>
    </w:p>
    <w:p w:rsidR="004D2DA7" w:rsidRPr="004D2DA7" w:rsidRDefault="004D2DA7" w:rsidP="004D2DA7">
      <w:pPr>
        <w:spacing w:after="0" w:line="240" w:lineRule="auto"/>
        <w:jc w:val="both"/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</w:pP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 xml:space="preserve">                                      </w:t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</w: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ab/>
        <w:t xml:space="preserve">ДЕЙНОСТТА НА ДКЕВР </w:t>
      </w:r>
    </w:p>
    <w:p w:rsidR="004D2DA7" w:rsidRPr="004D2DA7" w:rsidRDefault="004D2DA7" w:rsidP="004D2DA7">
      <w:pPr>
        <w:spacing w:after="0" w:line="240" w:lineRule="auto"/>
        <w:ind w:left="4956" w:firstLine="708"/>
        <w:jc w:val="both"/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</w:pPr>
      <w:r w:rsidRPr="004D2DA7">
        <w:rPr>
          <w:rFonts w:ascii="Times New (W1)" w:eastAsia="Times New Roman" w:hAnsi="Times New (W1)" w:cs="Times New Roman"/>
          <w:b/>
          <w:sz w:val="28"/>
          <w:szCs w:val="28"/>
          <w:lang w:eastAsia="bg-BG"/>
        </w:rPr>
        <w:t xml:space="preserve">    ИСКРЕН ВЕСЕЛИНОВ</w:t>
      </w:r>
    </w:p>
    <w:p w:rsidR="004D2DA7" w:rsidRPr="004D2DA7" w:rsidRDefault="004D2DA7" w:rsidP="004D2DA7">
      <w:pPr>
        <w:spacing w:after="0" w:line="240" w:lineRule="auto"/>
        <w:rPr>
          <w:rFonts w:ascii="Times New (W1)" w:eastAsia="Times New Roman" w:hAnsi="Times New (W1)" w:cs="Times New Roman"/>
          <w:sz w:val="24"/>
          <w:szCs w:val="24"/>
          <w:lang w:eastAsia="bg-BG"/>
        </w:rPr>
      </w:pPr>
    </w:p>
    <w:p w:rsidR="004D2DA7" w:rsidRPr="004D2DA7" w:rsidRDefault="004D2DA7" w:rsidP="004D2DA7">
      <w:pPr>
        <w:spacing w:after="0" w:line="240" w:lineRule="auto"/>
        <w:rPr>
          <w:rFonts w:ascii="Times New (W1)" w:eastAsia="Times New Roman" w:hAnsi="Times New (W1)" w:cs="Times New Roman"/>
          <w:sz w:val="24"/>
          <w:szCs w:val="24"/>
          <w:lang w:eastAsia="bg-BG"/>
        </w:rPr>
      </w:pPr>
    </w:p>
    <w:p w:rsidR="004D2DA7" w:rsidRPr="004D2DA7" w:rsidRDefault="004D2DA7" w:rsidP="004D2DA7">
      <w:pPr>
        <w:spacing w:after="0" w:line="240" w:lineRule="auto"/>
        <w:rPr>
          <w:rFonts w:ascii="Times New (W1)" w:eastAsia="Times New Roman" w:hAnsi="Times New (W1)" w:cs="Times New Roman"/>
          <w:sz w:val="24"/>
          <w:szCs w:val="24"/>
          <w:lang w:eastAsia="bg-BG"/>
        </w:rPr>
      </w:pPr>
    </w:p>
    <w:p w:rsidR="00223308" w:rsidRPr="00BB7219" w:rsidRDefault="00223308" w:rsidP="00BB72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3308" w:rsidRPr="00BB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75C3"/>
    <w:multiLevelType w:val="hybridMultilevel"/>
    <w:tmpl w:val="B9125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7"/>
    <w:rsid w:val="001377FB"/>
    <w:rsid w:val="00163960"/>
    <w:rsid w:val="00174A31"/>
    <w:rsid w:val="00223308"/>
    <w:rsid w:val="002B3E2D"/>
    <w:rsid w:val="004A2469"/>
    <w:rsid w:val="004D2DA7"/>
    <w:rsid w:val="009147C5"/>
    <w:rsid w:val="009433F0"/>
    <w:rsid w:val="00AA415F"/>
    <w:rsid w:val="00B83C77"/>
    <w:rsid w:val="00BA1602"/>
    <w:rsid w:val="00BB7219"/>
    <w:rsid w:val="00F12D62"/>
    <w:rsid w:val="00FA48F0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anton.ivanov</dc:creator>
  <cp:lastModifiedBy>KDKEVR</cp:lastModifiedBy>
  <cp:revision>3</cp:revision>
  <cp:lastPrinted>2016-02-26T09:50:00Z</cp:lastPrinted>
  <dcterms:created xsi:type="dcterms:W3CDTF">2016-02-26T09:54:00Z</dcterms:created>
  <dcterms:modified xsi:type="dcterms:W3CDTF">2016-02-26T11:13:00Z</dcterms:modified>
</cp:coreProperties>
</file>